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01148FCF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we </w:t>
      </w:r>
      <w:r w:rsidR="001E1F93" w:rsidRPr="001E1F93">
        <w:rPr>
          <w:sz w:val="36"/>
          <w:szCs w:val="32"/>
        </w:rPr>
        <w:t xml:space="preserve">are </w:t>
      </w:r>
      <w:r w:rsidR="008C695E">
        <w:rPr>
          <w:sz w:val="36"/>
          <w:szCs w:val="32"/>
        </w:rPr>
        <w:t>not associated any</w:t>
      </w:r>
      <w:r w:rsidR="008C695E" w:rsidRPr="008C695E">
        <w:rPr>
          <w:sz w:val="36"/>
          <w:szCs w:val="32"/>
        </w:rPr>
        <w:t xml:space="preserve"> Fatalities (Verify from Govt. data / reference check)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7A0FEE"/>
    <w:rsid w:val="008C695E"/>
    <w:rsid w:val="00960562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2022-10-13T11:36:00Z</dcterms:created>
  <dcterms:modified xsi:type="dcterms:W3CDTF">2022-10-13T11:46:00Z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